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281D">
      <w:pPr>
        <w:pStyle w:val="printredaction-line"/>
        <w:divId w:val="563414913"/>
      </w:pPr>
      <w:bookmarkStart w:id="0" w:name="_GoBack"/>
      <w:bookmarkEnd w:id="0"/>
      <w:r>
        <w:t>Редакция от 17 сен 2018</w:t>
      </w:r>
    </w:p>
    <w:p w:rsidR="00000000" w:rsidRDefault="00F0281D">
      <w:pPr>
        <w:pStyle w:val="2"/>
        <w:divId w:val="563414913"/>
        <w:rPr>
          <w:rFonts w:eastAsia="Times New Roman"/>
        </w:rPr>
      </w:pPr>
      <w:r>
        <w:rPr>
          <w:rFonts w:eastAsia="Times New Roman"/>
        </w:rPr>
        <w:t>Как самостоятельно приостановить операции по счету и карте, если заподозрили хищение денег</w:t>
      </w:r>
    </w:p>
    <w:p w:rsidR="00000000" w:rsidRDefault="00F0281D">
      <w:pPr>
        <w:pStyle w:val="a3"/>
        <w:divId w:val="134690103"/>
      </w:pPr>
      <w:r>
        <w:t>Организация может вернуть себе незаконно списанные со счета средства. Банк должен приостановить их зачисление на счет получателя, если организация успеет уведомить о том, что их списали без ее согласия. Правила действуют отдельно от приостановки платежей п</w:t>
      </w:r>
      <w:r>
        <w:t>о инициативе банка в целях</w:t>
      </w:r>
      <w:r>
        <w:t xml:space="preserve"> </w:t>
      </w:r>
      <w:hyperlink r:id="rId5" w:anchor="/document/11/18710/" w:history="1">
        <w:r>
          <w:rPr>
            <w:rStyle w:val="a4"/>
          </w:rPr>
          <w:t>противодействия мошенничеству</w:t>
        </w:r>
      </w:hyperlink>
      <w:r>
        <w:t xml:space="preserve"> и отмыванию денег и</w:t>
      </w:r>
      <w:r>
        <w:t xml:space="preserve"> </w:t>
      </w:r>
      <w:hyperlink r:id="rId6" w:anchor="/document/11/18159/" w:history="1">
        <w:r>
          <w:rPr>
            <w:rStyle w:val="a4"/>
          </w:rPr>
          <w:t>финансированию терроризма</w:t>
        </w:r>
      </w:hyperlink>
      <w:r>
        <w:t>. В рекомендации – как и насколь</w:t>
      </w:r>
      <w:r>
        <w:t>ко можно приостановить зачисление спорных платежей, если организация считает, что деньги списали без ее согласия</w:t>
      </w:r>
      <w:r>
        <w:t>.</w:t>
      </w:r>
    </w:p>
    <w:p w:rsidR="00000000" w:rsidRDefault="00F0281D">
      <w:pPr>
        <w:pStyle w:val="2"/>
        <w:divId w:val="134690103"/>
        <w:rPr>
          <w:rFonts w:eastAsia="Times New Roman"/>
        </w:rPr>
      </w:pPr>
      <w:r>
        <w:rPr>
          <w:rFonts w:eastAsia="Times New Roman"/>
        </w:rPr>
        <w:t>Как приостановить зачисление платеж</w:t>
      </w:r>
      <w:r>
        <w:rPr>
          <w:rFonts w:eastAsia="Times New Roman"/>
        </w:rPr>
        <w:t>а</w:t>
      </w:r>
    </w:p>
    <w:p w:rsidR="00000000" w:rsidRDefault="00F0281D">
      <w:pPr>
        <w:pStyle w:val="a3"/>
        <w:divId w:val="134690103"/>
      </w:pPr>
      <w:r>
        <w:t>Организация должна незамедлительно уведомить свой обслуживающий банк об использовании электронного средст</w:t>
      </w:r>
      <w:r>
        <w:t xml:space="preserve">ва платежа без ее согласия. Например, системы «Клиент–Банк» или корпоративной карты. Уведомить банк надо не позднее дня, следующего за днем, когда получили от банка уведомление о совершенной операции. Уведомление направьте по форме, которую банк установил </w:t>
      </w:r>
      <w:r>
        <w:t>в договоре.</w:t>
      </w:r>
      <w:r>
        <w:t xml:space="preserve"> </w:t>
      </w:r>
    </w:p>
    <w:p w:rsidR="00000000" w:rsidRDefault="00F0281D">
      <w:pPr>
        <w:pStyle w:val="a3"/>
        <w:divId w:val="134690103"/>
      </w:pPr>
      <w:r>
        <w:t>Безопаснее уведомить банк сразу, как только обнаружили, что прошла незаконная операция. Например, если получили СМС-сообщение, что кто-то вошел в систему «Клиент–Банк», но вы в данный момент никакие операции по счету не проводите.</w:t>
      </w:r>
      <w:r>
        <w:t xml:space="preserve"> </w:t>
      </w:r>
    </w:p>
    <w:p w:rsidR="00000000" w:rsidRDefault="00F0281D">
      <w:pPr>
        <w:divId w:val="977954488"/>
        <w:rPr>
          <w:rFonts w:eastAsia="Times New Roman"/>
        </w:rPr>
      </w:pPr>
      <w:r>
        <w:rPr>
          <w:rStyle w:val="a6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с</w:t>
      </w:r>
      <w:r>
        <w:rPr>
          <w:rStyle w:val="incut-head-sub"/>
          <w:rFonts w:eastAsia="Times New Roman"/>
        </w:rPr>
        <w:t xml:space="preserve"> директора могут взыскать убытки, если он не сообщит в банк, что со счета организации пытались похитить деньги. Это подтверждает</w:t>
      </w:r>
      <w:r>
        <w:rPr>
          <w:rStyle w:val="incut-head-sub"/>
          <w:rFonts w:eastAsia="Times New Roman"/>
        </w:rPr>
        <w:t xml:space="preserve"> </w:t>
      </w:r>
      <w:hyperlink r:id="rId7" w:anchor="/document/96/550849614/" w:history="1">
        <w:r>
          <w:rPr>
            <w:rStyle w:val="a4"/>
            <w:rFonts w:eastAsia="Times New Roman"/>
          </w:rPr>
          <w:t>определение Верховного суда от 24.07.2018 № 307-ЭС18-9645</w:t>
        </w:r>
      </w:hyperlink>
      <w:r>
        <w:rPr>
          <w:rStyle w:val="incut-head-sub"/>
          <w:rFonts w:eastAsia="Times New Roman"/>
        </w:rPr>
        <w:t>. Ког</w:t>
      </w:r>
      <w:r>
        <w:rPr>
          <w:rStyle w:val="incut-head-sub"/>
          <w:rFonts w:eastAsia="Times New Roman"/>
        </w:rPr>
        <w:t>да мошенники вошли в систему «Клиент–Банк» и проводили платеж, на телефон директора компании приходило СМС-сообщение от банка. Директор знал о попытке входа в систему посторонних лиц, но не сообщил об этом в банк. В результате убытки компании в сумме похищ</w:t>
      </w:r>
      <w:r>
        <w:rPr>
          <w:rStyle w:val="incut-head-sub"/>
          <w:rFonts w:eastAsia="Times New Roman"/>
        </w:rPr>
        <w:t>енных средств суд обязал возместить ее директора.</w:t>
      </w:r>
    </w:p>
    <w:p w:rsidR="00000000" w:rsidRDefault="00F0281D">
      <w:pPr>
        <w:pStyle w:val="2"/>
        <w:divId w:val="134690103"/>
        <w:rPr>
          <w:rFonts w:eastAsia="Times New Roman"/>
        </w:rPr>
      </w:pPr>
      <w:r>
        <w:rPr>
          <w:rFonts w:eastAsia="Times New Roman"/>
        </w:rPr>
        <w:t>На какой срок банк приостановит зачисление средств</w:t>
      </w:r>
      <w:r>
        <w:rPr>
          <w:rFonts w:eastAsia="Times New Roman"/>
        </w:rPr>
        <w:t xml:space="preserve"> </w:t>
      </w:r>
    </w:p>
    <w:p w:rsidR="00000000" w:rsidRDefault="00F0281D">
      <w:pPr>
        <w:pStyle w:val="a3"/>
        <w:divId w:val="134690103"/>
      </w:pPr>
      <w:r>
        <w:t>После получения уведомления о незаконном списании обслуживающий банк должен незамедлительно связаться с банком получателя и потребовать приостановить зачи</w:t>
      </w:r>
      <w:r>
        <w:t>сление денег на его счет. Это следует из частей</w:t>
      </w:r>
      <w:r>
        <w:t xml:space="preserve"> </w:t>
      </w:r>
      <w:hyperlink r:id="rId8" w:anchor="/document/99/902286143/ZAP2OTC3KM/" w:tooltip="11. В случае утраты электронного средства платежа и (или) его использования без согласия клиента клиент обязан направить соответствующее уведомление оператору по переводу денежных..." w:history="1">
        <w:r>
          <w:rPr>
            <w:rStyle w:val="a4"/>
          </w:rPr>
          <w:t>11</w:t>
        </w:r>
      </w:hyperlink>
      <w:r>
        <w:t xml:space="preserve"> и</w:t>
      </w:r>
      <w:r>
        <w:t xml:space="preserve"> </w:t>
      </w:r>
      <w:hyperlink r:id="rId9" w:anchor="/document/99/550499558/ZAP233O3FB/" w:tooltip="11.1. При получении от клиента - юридического лица уведомления, указанного в части 11 настоящей статьи, после осуществления списания денежных средств с банковского счета клиента оператор..." w:history="1">
        <w:r>
          <w:rPr>
            <w:rStyle w:val="a4"/>
          </w:rPr>
          <w:t>11.1</w:t>
        </w:r>
      </w:hyperlink>
      <w:r>
        <w:t xml:space="preserve"> статьи 9 Закона от 27.06.2011 № 161-ФЗ.</w:t>
      </w:r>
      <w:r>
        <w:t xml:space="preserve"> </w:t>
      </w:r>
    </w:p>
    <w:p w:rsidR="00000000" w:rsidRDefault="00F0281D">
      <w:pPr>
        <w:pStyle w:val="a3"/>
        <w:divId w:val="134690103"/>
      </w:pPr>
      <w:r>
        <w:t>Если банк получил уведомление до того, как зачислил средства на счет получателя, то обязан:</w:t>
      </w:r>
      <w:r>
        <w:br/>
        <w:t>– приостановить зачисление денег на счет п</w:t>
      </w:r>
      <w:r>
        <w:t>олучателя на срок до пяти рабочих дней со дня, когда получил уведомление;</w:t>
      </w:r>
      <w:r>
        <w:br/>
        <w:t>– запросить у получателя документы, которые подтверждают обоснованность получения денежных средств</w:t>
      </w:r>
      <w:r>
        <w:t>.</w:t>
      </w:r>
    </w:p>
    <w:p w:rsidR="00000000" w:rsidRDefault="00F0281D">
      <w:pPr>
        <w:pStyle w:val="a3"/>
        <w:divId w:val="134690103"/>
      </w:pPr>
      <w:r>
        <w:t>Такой порядок установлен в</w:t>
      </w:r>
      <w:r>
        <w:t xml:space="preserve"> </w:t>
      </w:r>
      <w:hyperlink r:id="rId10" w:anchor="/document/99/550499558/ZAP2A5C3EB/" w:tooltip="11.2. В случае получения от оператора по переводу денежных средств, обслуживающего плательщика, уведомления о приостановлении до осуществления зачисления денежных средств на банковский..." w:history="1">
        <w:r>
          <w:rPr>
            <w:rStyle w:val="a4"/>
          </w:rPr>
          <w:t>части 11.2</w:t>
        </w:r>
      </w:hyperlink>
      <w:r>
        <w:t xml:space="preserve"> статьи 9 Закона от 27.06.2011 №</w:t>
      </w:r>
      <w:r>
        <w:t> 161-ФЗ</w:t>
      </w:r>
      <w:r>
        <w:t>.</w:t>
      </w:r>
    </w:p>
    <w:p w:rsidR="00000000" w:rsidRDefault="00F0281D">
      <w:pPr>
        <w:pStyle w:val="a3"/>
        <w:divId w:val="134690103"/>
      </w:pPr>
      <w:r>
        <w:lastRenderedPageBreak/>
        <w:t>Но если банк получил уведомление уже после того, как зачислил деньги на счет получателя, то обязан направить в банк плательщика уведомление о том, что приостановить зачисление денег на счет получателя невозможно. Основание –</w:t>
      </w:r>
      <w:r>
        <w:t xml:space="preserve"> </w:t>
      </w:r>
      <w:hyperlink r:id="rId11" w:anchor="/document/99/550499558/ZAP2ADE3EE/" w:tooltip="11.5. В случае получения от оператора по переводу денежных средств, обслуживающего плательщика, уведомления о приостановлении после осуществления зачисления денежных средств на банковский..." w:history="1">
        <w:r>
          <w:rPr>
            <w:rStyle w:val="a4"/>
          </w:rPr>
          <w:t xml:space="preserve">часть </w:t>
        </w:r>
        <w:r>
          <w:rPr>
            <w:rStyle w:val="a4"/>
          </w:rPr>
          <w:t>11.5</w:t>
        </w:r>
      </w:hyperlink>
      <w:r>
        <w:t xml:space="preserve"> статьи 9 Закона от 27.06.2011 № 161-ФЗ. При этом банк не несет ответственности за убытки в связи с хищением денег, если своевременно направил уведомление в банк получателя. Но, если будет доказано, что кто-то из сотрудников знал о попытке хищения дене</w:t>
      </w:r>
      <w:r>
        <w:t xml:space="preserve">г и не сообщил об этом в банк, </w:t>
      </w:r>
      <w:hyperlink r:id="rId12" w:anchor="/document/11/18713/kl12/" w:history="1">
        <w:r>
          <w:rPr>
            <w:rStyle w:val="a4"/>
          </w:rPr>
          <w:t>убытки могут взыскать с этого человека</w:t>
        </w:r>
      </w:hyperlink>
      <w:r>
        <w:t>.</w:t>
      </w:r>
      <w:r>
        <w:t xml:space="preserve"> </w:t>
      </w:r>
    </w:p>
    <w:p w:rsidR="00000000" w:rsidRDefault="00F0281D">
      <w:pPr>
        <w:pStyle w:val="2"/>
        <w:divId w:val="134690103"/>
        <w:rPr>
          <w:rFonts w:eastAsia="Times New Roman"/>
        </w:rPr>
      </w:pPr>
      <w:r>
        <w:rPr>
          <w:rFonts w:eastAsia="Times New Roman"/>
        </w:rPr>
        <w:t>Когда банк зачислит платежи на счет получател</w:t>
      </w:r>
      <w:r>
        <w:rPr>
          <w:rFonts w:eastAsia="Times New Roman"/>
        </w:rPr>
        <w:t>я</w:t>
      </w:r>
    </w:p>
    <w:p w:rsidR="00000000" w:rsidRDefault="00F0281D">
      <w:pPr>
        <w:pStyle w:val="a3"/>
        <w:divId w:val="134690103"/>
      </w:pPr>
      <w:r>
        <w:t>Банк зачислит деньги на счет получателя, если он в течение пяти рабочих</w:t>
      </w:r>
      <w:r>
        <w:t xml:space="preserve"> дней представит подтверждающие документы. Это может быть договор, акт, накладные, счета и другие документы, которые подтвердят наличие отношений между плательщиком и получателем</w:t>
      </w:r>
      <w:r>
        <w:t>.</w:t>
      </w:r>
    </w:p>
    <w:p w:rsidR="00000000" w:rsidRDefault="00F0281D">
      <w:pPr>
        <w:pStyle w:val="a3"/>
        <w:divId w:val="134690103"/>
      </w:pPr>
      <w:r>
        <w:t>Если получатель в течение пяти рабочих дней не докажет, что имеет право на п</w:t>
      </w:r>
      <w:r>
        <w:t>олучение денежных средств, банк в течение двух рабочих дней обязан вернуть их в банк плательщика. Банк плательщика, в свою очередь, должен зачислить их на счет клиента в срок не позднее двух дней со дня получения денег. Это следует из</w:t>
      </w:r>
      <w:r>
        <w:t xml:space="preserve"> </w:t>
      </w:r>
      <w:hyperlink r:id="rId13" w:anchor="/document/99/550499558/ZAP2A5C3EB/" w:tooltip="11.2. В случае получения от оператора по переводу денежных средств, обслуживающего плательщика, уведомления о приостановлении до осуществления зачисления денежных средств на банковский..." w:history="1">
        <w:r>
          <w:rPr>
            <w:rStyle w:val="a4"/>
          </w:rPr>
          <w:t>частей 1</w:t>
        </w:r>
        <w:r>
          <w:rPr>
            <w:rStyle w:val="a4"/>
          </w:rPr>
          <w:t>1.2–11.4</w:t>
        </w:r>
      </w:hyperlink>
      <w:r>
        <w:t xml:space="preserve"> статьи 9 Закона от 27.06.2011 № 161-ФЗ</w:t>
      </w:r>
      <w:r>
        <w:t>.</w:t>
      </w:r>
    </w:p>
    <w:p w:rsidR="00F0281D" w:rsidRDefault="00F0281D">
      <w:pPr>
        <w:divId w:val="15213115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БСС «Система Главбух»</w:t>
      </w:r>
      <w:r>
        <w:rPr>
          <w:rFonts w:ascii="Arial" w:eastAsia="Times New Roman" w:hAnsi="Arial" w:cs="Arial"/>
          <w:sz w:val="20"/>
          <w:szCs w:val="20"/>
        </w:rPr>
        <w:br/>
        <w:t>vip.1gl.ru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18.09.2018</w:t>
      </w:r>
    </w:p>
    <w:sectPr w:rsidR="00F0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06300"/>
    <w:rsid w:val="00906300"/>
    <w:rsid w:val="00F0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incut-head-sub">
    <w:name w:val="incut-head-sub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incut-head-sub">
    <w:name w:val="incut-head-sub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491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10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456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31157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l.ru/" TargetMode="External"/><Relationship Id="rId13" Type="http://schemas.openxmlformats.org/officeDocument/2006/relationships/hyperlink" Target="https://vip.1g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gl.ru/" TargetMode="External"/><Relationship Id="rId12" Type="http://schemas.openxmlformats.org/officeDocument/2006/relationships/hyperlink" Target="https://vip.1g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gl.ru/" TargetMode="External"/><Relationship Id="rId11" Type="http://schemas.openxmlformats.org/officeDocument/2006/relationships/hyperlink" Target="https://vip.1gl.ru/" TargetMode="External"/><Relationship Id="rId5" Type="http://schemas.openxmlformats.org/officeDocument/2006/relationships/hyperlink" Target="https://vip.1g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p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g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2018-09-18T09:14:00Z</dcterms:created>
  <dcterms:modified xsi:type="dcterms:W3CDTF">2018-09-18T09:14:00Z</dcterms:modified>
</cp:coreProperties>
</file>