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5889">
      <w:pPr>
        <w:pStyle w:val="1"/>
        <w:divId w:val="73809719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Чек-лист, чтобы проверить контрагента</w:t>
      </w:r>
    </w:p>
    <w:p w:rsidR="00000000" w:rsidRDefault="007C5889">
      <w:pPr>
        <w:pStyle w:val="a3"/>
        <w:divId w:val="505442687"/>
      </w:pPr>
      <w:r>
        <w:t xml:space="preserve">Перед тем как заключить договор с новым контрагентом – проверьте его. Так вы снизите риск связаться с банкротом или недобросовестной компанией. Контрольные точки, по которым советуем проверять контрагентов, смотрите в этом </w:t>
      </w:r>
      <w:proofErr w:type="gramStart"/>
      <w:r>
        <w:t>чек-листе</w:t>
      </w:r>
      <w:proofErr w:type="gramEnd"/>
      <w:r>
        <w:t>.</w:t>
      </w:r>
    </w:p>
    <w:p w:rsidR="00000000" w:rsidRDefault="007C5889">
      <w:pPr>
        <w:pStyle w:val="2"/>
        <w:divId w:val="505442687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Проверка через Интерне</w:t>
      </w:r>
      <w:r>
        <w:rPr>
          <w:rFonts w:eastAsia="Times New Roman"/>
        </w:rPr>
        <w:t>т</w:t>
      </w:r>
    </w:p>
    <w:p w:rsidR="00000000" w:rsidRDefault="007C5889">
      <w:pPr>
        <w:pStyle w:val="a3"/>
        <w:divId w:val="505442687"/>
      </w:pPr>
      <w:r>
        <w:t xml:space="preserve">Еще до того, как вы начали обмениваться с контрагентом документами, лучше проверить его через </w:t>
      </w:r>
      <w:proofErr w:type="gramStart"/>
      <w:r>
        <w:t>интернет-сервисы</w:t>
      </w:r>
      <w:proofErr w:type="gramEnd"/>
      <w:r>
        <w:t>. Вот некоторые из них</w:t>
      </w:r>
      <w:r>
        <w:t>:</w:t>
      </w:r>
    </w:p>
    <w:p w:rsidR="00000000" w:rsidRDefault="007C5889">
      <w:pPr>
        <w:pStyle w:val="a3"/>
        <w:divId w:val="505442687"/>
      </w:pPr>
      <w:r>
        <w:t xml:space="preserve">– </w:t>
      </w:r>
      <w:hyperlink r:id="rId5" w:history="1">
        <w:r>
          <w:rPr>
            <w:rStyle w:val="a4"/>
          </w:rPr>
          <w:t>egrul.nalog.ru</w:t>
        </w:r>
      </w:hyperlink>
      <w:r>
        <w:t>. Проверьт</w:t>
      </w:r>
      <w:r>
        <w:t xml:space="preserve">е, есть ли контрагент в ЕГРЮЛ. Не исключено, что компания только прикидывается юридическим лицом, а по факту не зарегистрирована. Если связаться с такой организацией, то налоговые инспекторы откажут в расходах </w:t>
      </w:r>
      <w:r>
        <w:t>(</w:t>
      </w:r>
      <w:hyperlink r:id="rId6" w:anchor="/document/96/902134218/" w:history="1">
        <w:r>
          <w:rPr>
            <w:rStyle w:val="a4"/>
          </w:rPr>
          <w:t>постановление Президиума ВАС РФ от 18 ноября 2008 г. № 7588/08</w:t>
        </w:r>
      </w:hyperlink>
      <w:r>
        <w:t>)</w:t>
      </w:r>
      <w:r>
        <w:t>;</w:t>
      </w:r>
    </w:p>
    <w:p w:rsidR="00000000" w:rsidRDefault="007C5889">
      <w:pPr>
        <w:pStyle w:val="a3"/>
        <w:divId w:val="505442687"/>
      </w:pPr>
      <w:proofErr w:type="gramStart"/>
      <w:r w:rsidRPr="00A74F0B">
        <w:rPr>
          <w:lang w:val="en-US"/>
        </w:rPr>
        <w:t xml:space="preserve">– </w:t>
      </w:r>
      <w:hyperlink r:id="rId7" w:history="1">
        <w:r w:rsidRPr="00A74F0B">
          <w:rPr>
            <w:rStyle w:val="a4"/>
            <w:lang w:val="en-US"/>
          </w:rPr>
          <w:t>service.nalog.ru/svl.do</w:t>
        </w:r>
      </w:hyperlink>
      <w:r w:rsidRPr="00A74F0B">
        <w:rPr>
          <w:lang w:val="en-US"/>
        </w:rPr>
        <w:t>.</w:t>
      </w:r>
      <w:proofErr w:type="gramEnd"/>
      <w:r w:rsidRPr="00A74F0B">
        <w:rPr>
          <w:lang w:val="en-US"/>
        </w:rPr>
        <w:t xml:space="preserve"> </w:t>
      </w:r>
      <w:r>
        <w:t>Проконтролируйте учредителей. Даже если по выписке из ЕГРЮЛ у организации есть известные учредите</w:t>
      </w:r>
      <w:r>
        <w:t>ли, вполне возможно, что они уже давно сменились. А руководство недобросовестно пользуется их именем</w:t>
      </w:r>
      <w:r>
        <w:t>;</w:t>
      </w:r>
    </w:p>
    <w:p w:rsidR="00000000" w:rsidRDefault="007C5889">
      <w:pPr>
        <w:pStyle w:val="a3"/>
        <w:divId w:val="505442687"/>
      </w:pPr>
      <w:r>
        <w:t xml:space="preserve">– </w:t>
      </w:r>
      <w:hyperlink r:id="rId8" w:history="1">
        <w:r>
          <w:rPr>
            <w:rStyle w:val="a4"/>
          </w:rPr>
          <w:t>service.nalog.ru/zd.do</w:t>
        </w:r>
      </w:hyperlink>
      <w:r>
        <w:t xml:space="preserve">. Смотрите сведения о компаниях, у которых есть задолженность по налогам, и о тех, </w:t>
      </w:r>
      <w:r>
        <w:t>кто не представляет налоговую отчетность больше года. Вполне возможно, что ваш будущий контрагент неплатежеспособен и хочет поправить положение дел за счет вас</w:t>
      </w:r>
      <w:r>
        <w:t>;</w:t>
      </w:r>
    </w:p>
    <w:p w:rsidR="00000000" w:rsidRDefault="007C5889">
      <w:pPr>
        <w:pStyle w:val="a3"/>
        <w:divId w:val="505442687"/>
      </w:pPr>
      <w:r>
        <w:t xml:space="preserve">– </w:t>
      </w:r>
      <w:hyperlink r:id="rId9" w:history="1">
        <w:r>
          <w:rPr>
            <w:rStyle w:val="a4"/>
          </w:rPr>
          <w:t>nalog.ru/disqualified.do</w:t>
        </w:r>
      </w:hyperlink>
      <w:r>
        <w:t>. Это реестр</w:t>
      </w:r>
      <w:r>
        <w:t xml:space="preserve"> дисквалифицированных лиц. Сюда попадают плохие руководители, которым запрещено управлять. Если договор подпишет директор из этого списка, суд признает сделку ничтожной</w:t>
      </w:r>
      <w:r>
        <w:t>;</w:t>
      </w:r>
    </w:p>
    <w:p w:rsidR="00000000" w:rsidRDefault="007C5889">
      <w:pPr>
        <w:pStyle w:val="a3"/>
        <w:divId w:val="505442687"/>
      </w:pPr>
      <w:r w:rsidRPr="00A74F0B">
        <w:rPr>
          <w:lang w:val="en-US"/>
        </w:rPr>
        <w:t xml:space="preserve">– </w:t>
      </w:r>
      <w:hyperlink r:id="rId10" w:history="1">
        <w:proofErr w:type="spellStart"/>
        <w:proofErr w:type="gramStart"/>
        <w:r w:rsidRPr="00A74F0B">
          <w:rPr>
            <w:rStyle w:val="a4"/>
            <w:lang w:val="en-US"/>
          </w:rPr>
          <w:t>vestnik-gosreg</w:t>
        </w:r>
        <w:proofErr w:type="spellEnd"/>
        <w:proofErr w:type="gramEnd"/>
        <w:r w:rsidRPr="00A74F0B">
          <w:rPr>
            <w:rStyle w:val="a4"/>
            <w:lang w:val="en-US"/>
          </w:rPr>
          <w:t xml:space="preserve">. </w:t>
        </w:r>
        <w:proofErr w:type="spellStart"/>
        <w:proofErr w:type="gramStart"/>
        <w:r w:rsidRPr="00A74F0B">
          <w:rPr>
            <w:rStyle w:val="a4"/>
            <w:lang w:val="en-US"/>
          </w:rPr>
          <w:t>ru</w:t>
        </w:r>
        <w:proofErr w:type="spellEnd"/>
        <w:r w:rsidRPr="00A74F0B">
          <w:rPr>
            <w:rStyle w:val="a4"/>
            <w:lang w:val="en-US"/>
          </w:rPr>
          <w:t>/</w:t>
        </w:r>
        <w:proofErr w:type="spellStart"/>
        <w:r w:rsidRPr="00A74F0B">
          <w:rPr>
            <w:rStyle w:val="a4"/>
            <w:lang w:val="en-US"/>
          </w:rPr>
          <w:t>publ</w:t>
        </w:r>
        <w:proofErr w:type="spellEnd"/>
        <w:r w:rsidRPr="00A74F0B">
          <w:rPr>
            <w:rStyle w:val="a4"/>
            <w:lang w:val="en-US"/>
          </w:rPr>
          <w:t>/</w:t>
        </w:r>
        <w:proofErr w:type="spellStart"/>
        <w:r w:rsidRPr="00A74F0B">
          <w:rPr>
            <w:rStyle w:val="a4"/>
            <w:lang w:val="en-US"/>
          </w:rPr>
          <w:t>vgr</w:t>
        </w:r>
        <w:proofErr w:type="spellEnd"/>
        <w:proofErr w:type="gramEnd"/>
      </w:hyperlink>
      <w:r w:rsidRPr="00A74F0B">
        <w:rPr>
          <w:lang w:val="en-US"/>
        </w:rPr>
        <w:t xml:space="preserve">. </w:t>
      </w:r>
      <w:r>
        <w:t>Используйте опубликованные в журнале «Вестник государственной регистрации» сведения компаний о ликвидации, реорганизации, уменьшении уставного капитала и пр.</w:t>
      </w:r>
      <w:r>
        <w:t>;</w:t>
      </w:r>
    </w:p>
    <w:p w:rsidR="00000000" w:rsidRDefault="007C5889">
      <w:pPr>
        <w:pStyle w:val="a3"/>
        <w:divId w:val="505442687"/>
      </w:pPr>
      <w:r>
        <w:t xml:space="preserve">– </w:t>
      </w:r>
      <w:hyperlink r:id="rId11" w:history="1">
        <w:r>
          <w:rPr>
            <w:rStyle w:val="a4"/>
          </w:rPr>
          <w:t>kommersant.ru/</w:t>
        </w:r>
        <w:proofErr w:type="spellStart"/>
        <w:r>
          <w:rPr>
            <w:rStyle w:val="a4"/>
          </w:rPr>
          <w:t>bankruptcy</w:t>
        </w:r>
        <w:proofErr w:type="spellEnd"/>
      </w:hyperlink>
      <w:r>
        <w:t>. Здесь база объявл</w:t>
      </w:r>
      <w:r>
        <w:t>ений о банкротстве</w:t>
      </w:r>
      <w:r>
        <w:t>;</w:t>
      </w:r>
    </w:p>
    <w:p w:rsidR="00000000" w:rsidRDefault="007C5889">
      <w:pPr>
        <w:pStyle w:val="a3"/>
        <w:divId w:val="505442687"/>
      </w:pPr>
      <w:r>
        <w:t xml:space="preserve">– </w:t>
      </w:r>
      <w:hyperlink r:id="rId12" w:history="1">
        <w:r>
          <w:rPr>
            <w:rStyle w:val="a4"/>
          </w:rPr>
          <w:t>kad.arbitr.ru</w:t>
        </w:r>
      </w:hyperlink>
      <w:r>
        <w:t>. Через этот сервис можно узнать всю судебную историю контрагента</w:t>
      </w:r>
      <w:r>
        <w:t>.</w:t>
      </w:r>
    </w:p>
    <w:p w:rsidR="00000000" w:rsidRDefault="007C5889">
      <w:pPr>
        <w:pStyle w:val="2"/>
        <w:divId w:val="505442687"/>
        <w:rPr>
          <w:rFonts w:eastAsia="Times New Roman"/>
        </w:rPr>
      </w:pPr>
      <w:r>
        <w:rPr>
          <w:rFonts w:eastAsia="Times New Roman"/>
        </w:rPr>
        <w:t>Анализ документов</w:t>
      </w:r>
      <w:r>
        <w:rPr>
          <w:rFonts w:eastAsia="Times New Roman"/>
        </w:rPr>
        <w:t xml:space="preserve"> </w:t>
      </w:r>
    </w:p>
    <w:p w:rsidR="00000000" w:rsidRDefault="007C5889">
      <w:pPr>
        <w:pStyle w:val="a3"/>
        <w:divId w:val="505442687"/>
      </w:pPr>
      <w:r>
        <w:t>Проверка по электронным сервисам не единственный способ. Лучше сверить данные из Интернета с доку</w:t>
      </w:r>
      <w:r>
        <w:t>ментами контрагента</w:t>
      </w:r>
      <w:r>
        <w:t>:</w:t>
      </w:r>
    </w:p>
    <w:p w:rsidR="00000000" w:rsidRDefault="007C5889">
      <w:pPr>
        <w:pStyle w:val="a3"/>
        <w:divId w:val="505442687"/>
      </w:pPr>
      <w:r>
        <w:t>– устав. Обратите внимание на уставный капитал. Если организация говорит, что она крупная, а капитал 10 000 руб., это должно насторожить. Также посмотрите на место нахождения общества, совпадает ли оно с действительным</w:t>
      </w:r>
      <w:r>
        <w:t>;</w:t>
      </w:r>
    </w:p>
    <w:p w:rsidR="00000000" w:rsidRDefault="007C5889">
      <w:pPr>
        <w:pStyle w:val="a3"/>
        <w:divId w:val="505442687"/>
      </w:pPr>
      <w:r>
        <w:t>– протокол обще</w:t>
      </w:r>
      <w:r>
        <w:t>го собрания учредителей о назначении директора (решение единственного учредителя). Ф. И. О. директора в этом документе должно совпадать с данными действующего руководителя</w:t>
      </w:r>
      <w:r>
        <w:t>;</w:t>
      </w:r>
    </w:p>
    <w:p w:rsidR="00000000" w:rsidRDefault="007C5889">
      <w:pPr>
        <w:pStyle w:val="a3"/>
        <w:divId w:val="505442687"/>
      </w:pPr>
      <w:r>
        <w:lastRenderedPageBreak/>
        <w:t>– вторая и третья страницы паспорта руководителя организации. Проверить, действител</w:t>
      </w:r>
      <w:r>
        <w:t xml:space="preserve">ен ли паспорт, можно по сервису </w:t>
      </w:r>
      <w:hyperlink r:id="rId13" w:history="1">
        <w:r>
          <w:rPr>
            <w:rStyle w:val="a4"/>
          </w:rPr>
          <w:t>services.fms.gov.ru</w:t>
        </w:r>
      </w:hyperlink>
      <w:r>
        <w:t>;</w:t>
      </w:r>
    </w:p>
    <w:p w:rsidR="00000000" w:rsidRDefault="007C5889">
      <w:pPr>
        <w:pStyle w:val="a3"/>
        <w:divId w:val="505442687"/>
      </w:pPr>
      <w:r>
        <w:t>– бухгалтерская отчетность за 2015 год. Отчетность поможет понять, в каком финансовом положении находится компания</w:t>
      </w:r>
      <w:r>
        <w:t>;</w:t>
      </w:r>
    </w:p>
    <w:p w:rsidR="007C5889" w:rsidRDefault="007C5889">
      <w:pPr>
        <w:divId w:val="2012861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БСС «Система Главбух»</w:t>
      </w:r>
      <w:r>
        <w:rPr>
          <w:rFonts w:ascii="Arial" w:eastAsia="Times New Roman" w:hAnsi="Arial" w:cs="Arial"/>
          <w:sz w:val="20"/>
          <w:szCs w:val="20"/>
        </w:rPr>
        <w:br/>
        <w:t>vip.1gl.ru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07.07.2016</w:t>
      </w:r>
    </w:p>
    <w:sectPr w:rsidR="007C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74F0B"/>
    <w:rsid w:val="005D448B"/>
    <w:rsid w:val="006B6D4F"/>
    <w:rsid w:val="007C5889"/>
    <w:rsid w:val="00A7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actiondigital.ru/prefs"/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613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19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68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zd.do" TargetMode="External"/><Relationship Id="rId13" Type="http://schemas.openxmlformats.org/officeDocument/2006/relationships/hyperlink" Target="http://services.fm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.nalog.ru/svl.do" TargetMode="External"/><Relationship Id="rId12" Type="http://schemas.openxmlformats.org/officeDocument/2006/relationships/hyperlink" Target="http://kad.arbi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p.1gl.ru/" TargetMode="External"/><Relationship Id="rId11" Type="http://schemas.openxmlformats.org/officeDocument/2006/relationships/hyperlink" Target="http://www.kommersant.ru/bankruptcy" TargetMode="External"/><Relationship Id="rId5" Type="http://schemas.openxmlformats.org/officeDocument/2006/relationships/hyperlink" Target="https://egrul.nalog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estnik-gosreg.ru/publ/v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.nalog.ru/disqualified.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2016-07-07T06:41:00Z</dcterms:created>
  <dcterms:modified xsi:type="dcterms:W3CDTF">2016-07-07T06:42:00Z</dcterms:modified>
</cp:coreProperties>
</file>